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Отчет о реализации региональной программы развития детско-юношеского спорта</w:t>
      </w:r>
      <w:r/>
    </w:p>
    <w:p>
      <w:pPr>
        <w:jc w:val="center"/>
      </w:pPr>
      <w:r>
        <w:t xml:space="preserve"> в Оренбургской области до 2030 года (период 2022-2023 год)</w:t>
      </w:r>
      <w:r/>
      <w:r/>
    </w:p>
    <w:p>
      <w:r/>
      <w:r/>
    </w:p>
    <w:tbl>
      <w:tblPr>
        <w:tblStyle w:val="678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1652"/>
        <w:gridCol w:w="2316"/>
        <w:gridCol w:w="3260"/>
        <w:gridCol w:w="4253"/>
      </w:tblGrid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п/п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мероприятия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(вид документа)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 исполнения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Ответственные исполнители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r>
              <w:t xml:space="preserve">Отчет об исполнении</w:t>
            </w:r>
            <w:r/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jc w:val="center"/>
            </w:pPr>
            <w:r>
              <w:rPr>
                <w:szCs w:val="28"/>
              </w:rPr>
              <w:t xml:space="preserve">Перечень мероприятий по реализации Федерального закона от 30.04.2021 № 127-ФЗ «О внесении изменений в Федеральный закон «О физической культуре и спорте в Российской Федерации» и Федеральный закон «Об образовании </w:t>
            </w:r>
            <w:r>
              <w:rPr>
                <w:szCs w:val="28"/>
              </w:rPr>
              <w:t xml:space="preserve">в  Российской</w:t>
            </w:r>
            <w:r>
              <w:rPr>
                <w:szCs w:val="28"/>
              </w:rPr>
              <w:t xml:space="preserve"> Федерации»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оказания содействия организациям, реализующим дополните</w:t>
            </w:r>
            <w:r>
              <w:rPr>
                <w:szCs w:val="28"/>
              </w:rPr>
              <w:t xml:space="preserve">льные общеобразовательные программы в области физической культуры и спорта, программы спортивной подготовки, по приведению их наименований и уставов в соответствие с Федеральным законом от 29 декабря 2012 г. № 273-ФЗ «Об образовании в Российской Федерации»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д</w:t>
            </w:r>
            <w:r>
              <w:rPr>
                <w:szCs w:val="28"/>
              </w:rPr>
              <w:t xml:space="preserve">оклад на межведомственном совете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в</w:t>
            </w:r>
            <w:r>
              <w:rPr>
                <w:szCs w:val="28"/>
              </w:rPr>
              <w:t xml:space="preserve"> течение переходного периода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 физической</w:t>
            </w:r>
            <w:r>
              <w:rPr>
                <w:szCs w:val="28"/>
              </w:rPr>
              <w:t xml:space="preserve"> культуры и спорта</w:t>
            </w:r>
            <w:r>
              <w:rPr>
                <w:szCs w:val="28"/>
              </w:rPr>
              <w:t xml:space="preserve"> Оренбургской области (далее – </w:t>
            </w: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);</w:t>
            </w:r>
            <w:r>
              <w:rPr>
                <w:szCs w:val="28"/>
              </w:rPr>
              <w:t xml:space="preserve"> министерство образования</w:t>
            </w:r>
            <w:r>
              <w:rPr>
                <w:szCs w:val="28"/>
              </w:rPr>
              <w:t xml:space="preserve"> Оренбургской области (далее – </w:t>
            </w: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  <w:t xml:space="preserve">);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органы местного самоуправления муниципальных образований Оренбургской области (далее – органы местног</w:t>
            </w:r>
            <w:r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 самоуправления) 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left="21" w:right="-58"/>
              <w:tabs>
                <w:tab w:val="left" w:pos="-426" w:leader="none"/>
              </w:tabs>
              <w:rPr>
                <w:szCs w:val="28"/>
              </w:rPr>
            </w:pPr>
            <w:r>
              <w:t xml:space="preserve">Совместный приказ министерства спорта Оренбургской области (№ 15/01-28/1732 от 5.10.2022</w:t>
            </w:r>
            <w:r>
              <w:t xml:space="preserve">)  и</w:t>
            </w:r>
            <w:r>
              <w:t xml:space="preserve"> министерства образования Оренбургской области (№ 01-21/1440 от 11.10.2022) « </w:t>
            </w:r>
            <w:r>
              <w:rPr>
                <w:bCs/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плана мероприятий по реализации на всех уровнях публичной власти Федерального закона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      </w:r>
            <w:r>
              <w:rPr>
                <w:szCs w:val="28"/>
              </w:rPr>
            </w:r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ind w:firstLine="708"/>
              <w:tabs>
                <w:tab w:val="left" w:pos="11112" w:leader="none"/>
              </w:tabs>
            </w:pPr>
            <w:r>
              <w:rPr>
                <w:szCs w:val="28"/>
              </w:rPr>
              <w:t xml:space="preserve">Нормативно-правовое регулирование в сфере детско-юношеского спорта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/>
            <w:bookmarkStart w:id="0" w:name="_GoBack"/>
            <w:r>
              <w:rPr>
                <w:szCs w:val="28"/>
              </w:rPr>
              <w:t xml:space="preserve">2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Приведение законодательства Оренбургской области в соответствие с законодательством РФ в </w:t>
            </w:r>
            <w:r>
              <w:rPr>
                <w:szCs w:val="28"/>
              </w:rPr>
              <w:t xml:space="preserve">сфере образования и в области физической культуры и спорта (в части вопросов развития детско-юношеского спорта)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правовые акты Оренбургской области</w:t>
            </w:r>
            <w:r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муниципальных образований Оренбургской области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4 квартал 2022 г.</w:t>
            </w:r>
            <w:r>
              <w:rPr>
                <w:szCs w:val="28"/>
                <w:highlight w:val="yellow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органы местног</w:t>
            </w:r>
            <w:r>
              <w:rPr>
                <w:szCs w:val="28"/>
              </w:rPr>
              <w:t xml:space="preserve">о</w:t>
            </w:r>
            <w:r>
              <w:rPr>
                <w:szCs w:val="28"/>
              </w:rPr>
              <w:t xml:space="preserve"> самоуправления 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Закон Оренбургской области от 6 сентября 2013 года № 1698/506-V-ОЗ «Об образовании в Оренбургской области» (с </w:t>
            </w:r>
            <w:r>
              <w:rPr>
                <w:bCs/>
                <w:szCs w:val="28"/>
              </w:rPr>
              <w:t xml:space="preserve">изменениями на 26 декабря 2022 года);</w:t>
            </w:r>
            <w:r>
              <w:rPr>
                <w:bCs/>
                <w:szCs w:val="28"/>
              </w:rPr>
            </w:r>
          </w:p>
          <w:p>
            <w:pPr>
              <w:ind w:left="21" w:right="-58"/>
              <w:tabs>
                <w:tab w:val="left" w:pos="-426" w:leader="none"/>
              </w:tabs>
            </w:pPr>
            <w:r>
              <w:t xml:space="preserve">Закон Оренбургской области от 29.12.2010 № 4175/979-IV-ОЗ «О физической культуре и спорте в Оренбургской области»</w:t>
            </w:r>
            <w:bookmarkEnd w:id="0"/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Приведение </w:t>
            </w:r>
            <w:r>
              <w:rPr>
                <w:szCs w:val="28"/>
              </w:rPr>
              <w:t xml:space="preserve">локальных актов</w:t>
            </w:r>
            <w:r>
              <w:rPr>
                <w:szCs w:val="28"/>
              </w:rPr>
              <w:t xml:space="preserve"> о</w:t>
            </w:r>
            <w:r>
              <w:rPr>
                <w:szCs w:val="28"/>
              </w:rPr>
              <w:t xml:space="preserve">рганизаций, реализующих дополнительные образовательные программы в области физической культуры и спорта в соответствие с законодательством РФ в сфере образования и в области физической культуры и спорта (в части вопросов развития детско-юношеского спорта) 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Нормативные правовые акты образовательных организаций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квартал 2022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Уставы, локальные нормативные акты образовательных организаций, реализующих дополнительные программы спортивной подготовки приведены в соответствие с 127-ФЗ от </w:t>
            </w:r>
            <w:r>
              <w:rPr>
                <w:szCs w:val="28"/>
                <w:shd w:val="clear" w:color="auto" w:fill="ffffff"/>
              </w:rPr>
              <w:t xml:space="preserve">от</w:t>
            </w:r>
            <w:r>
              <w:rPr>
                <w:szCs w:val="28"/>
                <w:shd w:val="clear" w:color="auto" w:fill="ffffff"/>
              </w:rPr>
              <w:t xml:space="preserve"> 30 апреля 2021 г. </w:t>
            </w:r>
            <w:r>
              <w:rPr>
                <w:szCs w:val="28"/>
                <w:shd w:val="clear" w:color="auto" w:fill="ffffff"/>
              </w:rPr>
              <w:t xml:space="preserve">«</w:t>
            </w:r>
            <w:r>
              <w:rPr>
                <w:szCs w:val="28"/>
                <w:shd w:val="clear" w:color="auto" w:fill="ffffff"/>
              </w:rPr>
              <w:t xml:space="preserve">О внесении</w:t>
            </w:r>
            <w:r>
              <w:rPr>
                <w:szCs w:val="28"/>
                <w:shd w:val="clear" w:color="auto" w:fill="ffffff"/>
              </w:rPr>
              <w:t xml:space="preserve"> изменений в Федеральный закон «</w:t>
            </w:r>
            <w:r>
              <w:rPr>
                <w:szCs w:val="28"/>
                <w:shd w:val="clear" w:color="auto" w:fill="ffffff"/>
              </w:rPr>
              <w:t xml:space="preserve">О физической культуре и спорте в Российской Федерации</w:t>
            </w:r>
            <w:r>
              <w:rPr>
                <w:szCs w:val="28"/>
                <w:shd w:val="clear" w:color="auto" w:fill="ffffff"/>
              </w:rPr>
              <w:t xml:space="preserve">»</w:t>
            </w:r>
            <w:r>
              <w:rPr>
                <w:szCs w:val="28"/>
                <w:shd w:val="clear" w:color="auto" w:fill="ffffff"/>
              </w:rPr>
              <w:t xml:space="preserve"> и Федеральный закон "Об обр</w:t>
            </w:r>
            <w:r>
              <w:rPr>
                <w:szCs w:val="28"/>
                <w:shd w:val="clear" w:color="auto" w:fill="ffffff"/>
              </w:rPr>
              <w:t xml:space="preserve">азовании в Российской Федерации»</w:t>
            </w:r>
            <w:r>
              <w:rPr>
                <w:szCs w:val="28"/>
                <w:shd w:val="clear" w:color="auto" w:fill="ffffff"/>
              </w:rPr>
              <w:t xml:space="preserve">. Детско-юношеские спортивные школы, подведомственные системе образовани</w:t>
            </w:r>
            <w:r>
              <w:rPr>
                <w:szCs w:val="28"/>
                <w:shd w:val="clear" w:color="auto" w:fill="ffffff"/>
              </w:rPr>
              <w:t xml:space="preserve">я сменили свои наименования на «СПОРТИВНЫЕ ШКОЛЫ»</w:t>
            </w:r>
            <w:r>
              <w:rPr>
                <w:szCs w:val="28"/>
                <w:shd w:val="clear" w:color="auto" w:fill="ffffff"/>
              </w:rPr>
              <w:t xml:space="preserve"> и внесли соответствующие изменения в реестр лицензий на осуществление образовательной деятельности. Спортивные школы системы министерства спорта осуществляют </w:t>
            </w:r>
            <w:r>
              <w:rPr>
                <w:szCs w:val="28"/>
                <w:shd w:val="clear" w:color="auto" w:fill="ffffff"/>
              </w:rPr>
              <w:t xml:space="preserve">образовательную деятельность по программам спортивной подготовки на основании временных лицензий, срок действия которых до 31 августа 2023 года. Из 41 спортивной школы системы спорта 18 получили бессро</w:t>
            </w:r>
            <w:r>
              <w:rPr>
                <w:szCs w:val="28"/>
                <w:shd w:val="clear" w:color="auto" w:fill="ffffff"/>
              </w:rPr>
              <w:t xml:space="preserve">чные лицензии. Работа по получению бессрочных лицензий проводится системно и адресно с конкретными спортивными школами совместно с министерством спорта Оренбургской области, в системе проводятся консультации, мониторинг получения разрешительных документов </w:t>
            </w:r>
            <w:r>
              <w:rPr>
                <w:szCs w:val="28"/>
                <w:shd w:val="clear" w:color="auto" w:fill="ffffff"/>
              </w:rPr>
              <w:t xml:space="preserve">Роспотребнадзора</w:t>
            </w:r>
            <w:r>
              <w:rPr>
                <w:szCs w:val="28"/>
                <w:shd w:val="clear" w:color="auto" w:fill="ffffff"/>
              </w:rPr>
              <w:t xml:space="preserve"> и будет продолжена до получения ими бессрочно действующих лицензий.</w:t>
            </w:r>
            <w:r>
              <w:rPr>
                <w:szCs w:val="28"/>
              </w:rPr>
            </w:r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pStyle w:val="677"/>
              <w:ind w:left="0"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управления, координации деятельности и методического обеспечения</w:t>
            </w:r>
            <w:r>
              <w:rPr>
                <w:szCs w:val="28"/>
              </w:rPr>
            </w:r>
          </w:p>
          <w:p>
            <w:pPr>
              <w:ind w:firstLine="708"/>
              <w:jc w:val="center"/>
            </w:pPr>
            <w:r>
              <w:rPr>
                <w:szCs w:val="28"/>
              </w:rPr>
              <w:t xml:space="preserve">детско-юношеского спорта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Создание рабочей </w:t>
            </w:r>
            <w:r>
              <w:rPr>
                <w:szCs w:val="28"/>
              </w:rPr>
              <w:t xml:space="preserve">группы </w:t>
            </w:r>
            <w:r>
              <w:rPr>
                <w:szCs w:val="28"/>
              </w:rPr>
              <w:t xml:space="preserve"> для</w:t>
            </w:r>
            <w:r>
              <w:rPr>
                <w:szCs w:val="28"/>
              </w:rPr>
              <w:t xml:space="preserve"> координации деятельности по лицензированию организаций, реализующих дополнительные </w:t>
            </w:r>
            <w:r>
              <w:rPr>
                <w:szCs w:val="28"/>
              </w:rPr>
              <w:t xml:space="preserve">образовательные программы спортивной подготовки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Распоряжение Губернатора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2022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r>
              <w:t xml:space="preserve">Распоряжение Губернатора Оренбургской области от 21.04.2022 № 122-р «Об образовании рабочей группы для </w:t>
            </w:r>
            <w:r>
              <w:rPr>
                <w:szCs w:val="28"/>
              </w:rPr>
              <w:t xml:space="preserve">координации деятельности по лицензированию</w:t>
            </w:r>
            <w:r>
              <w:rPr>
                <w:szCs w:val="28"/>
              </w:rPr>
              <w:t xml:space="preserve"> организаций, реализующих дополнительные </w:t>
            </w:r>
            <w:r>
              <w:rPr>
                <w:szCs w:val="28"/>
              </w:rPr>
              <w:t xml:space="preserve">образовательные программы спортивной подготовки»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работы регионального ресурсного центра по координации деятельности организаций, реализующих дополнительные образовательные программы физкультурно-спортивной направленности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Приказ 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2022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r>
              <w:t xml:space="preserve">Приказ министерства образования Оренбургской области от 29.06.2021 № 01-21/1116</w:t>
            </w:r>
            <w:r/>
          </w:p>
          <w:p>
            <w:r>
              <w:t xml:space="preserve">За 2023 года </w:t>
            </w:r>
            <w:r>
              <w:rPr>
                <w:szCs w:val="28"/>
              </w:rPr>
              <w:t xml:space="preserve">ГБУДО «Оренбургская областная спортивная школа» </w:t>
            </w:r>
            <w:r>
              <w:t xml:space="preserve">были проведены 24 совещания по вопросам организации деятельности организаций дополнительного образования физкультурно-спортивной направленности.</w:t>
            </w:r>
            <w:r/>
          </w:p>
          <w:p>
            <w:r>
              <w:t xml:space="preserve">Еженедельно (в четверг) в формат</w:t>
            </w:r>
            <w:r>
              <w:t xml:space="preserve">е онлайн на базе ООСШ работает консультативно-методическая площадка для специалистов и руководителей образовательных организаций и специалистов муниципальных органов, отвечающих за развитие дополнительного образования физкультурно-спортивной направленности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Материально-техническое </w:t>
            </w:r>
            <w:r>
              <w:rPr>
                <w:szCs w:val="28"/>
              </w:rPr>
              <w:t xml:space="preserve">обеспечение  реализации</w:t>
            </w:r>
            <w:r>
              <w:rPr>
                <w:szCs w:val="28"/>
              </w:rPr>
              <w:t xml:space="preserve"> Программы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</w:pPr>
            <w:r>
              <w:rPr>
                <w:szCs w:val="28"/>
              </w:rPr>
              <w:t xml:space="preserve">Отчет на межведомственном совете</w:t>
            </w:r>
            <w:r/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кв. 2022 г, далее 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спортивных </w:t>
            </w:r>
            <w:r>
              <w:rPr>
                <w:szCs w:val="28"/>
              </w:rPr>
              <w:t xml:space="preserve">школах  продолжает</w:t>
            </w:r>
            <w:r>
              <w:rPr>
                <w:szCs w:val="28"/>
              </w:rPr>
              <w:t xml:space="preserve"> укрепляться материально-техническая база: </w:t>
            </w:r>
            <w:r>
              <w:rPr>
                <w:szCs w:val="28"/>
              </w:rPr>
              <w:t xml:space="preserve">построено четыре площадки ГТО на сумму более 400 тыс. руб.</w:t>
            </w:r>
            <w:r>
              <w:rPr>
                <w:szCs w:val="28"/>
              </w:rPr>
            </w:r>
          </w:p>
          <w:p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спортивной школе </w:t>
            </w:r>
            <w:r>
              <w:rPr>
                <w:szCs w:val="28"/>
              </w:rPr>
              <w:t xml:space="preserve">Новоорского</w:t>
            </w:r>
            <w:r>
              <w:rPr>
                <w:szCs w:val="28"/>
              </w:rPr>
              <w:t xml:space="preserve"> района введены в эксплуатацию: </w:t>
            </w:r>
            <w:r>
              <w:rPr>
                <w:szCs w:val="28"/>
              </w:rPr>
              <w:t xml:space="preserve">плоскостные  спортсооружения</w:t>
            </w:r>
            <w:r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воркаут</w:t>
            </w:r>
            <w:r>
              <w:rPr>
                <w:szCs w:val="28"/>
              </w:rPr>
              <w:t xml:space="preserve">, Спорт-норма жизни).</w:t>
            </w:r>
            <w:r>
              <w:rPr>
                <w:szCs w:val="28"/>
              </w:rPr>
            </w:r>
          </w:p>
          <w:p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Северном районе запущен в эксплуатацию и передается на баланс спортивной школы физкультурно-спортивный комплекс с плавательным бассейном.</w:t>
            </w:r>
            <w:r>
              <w:rPr>
                <w:szCs w:val="28"/>
              </w:rPr>
            </w:r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t xml:space="preserve">Разработка и реализация комплекса мероприятий, направленных на расширение и внедрение отдельных модулей видов спорта для их включения в программу учебного предмета «Физическая культура» </w:t>
            </w:r>
            <w:r>
              <w:rPr>
                <w:szCs w:val="28"/>
              </w:rPr>
              <w:t xml:space="preserve">в рамках реализации ФГОС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</w:pPr>
            <w:r>
              <w:t xml:space="preserve">План мероприятий, информационный отчет</w:t>
            </w:r>
            <w:r/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кв. 2022 г, далее 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r>
              <w:rPr>
                <w:color w:val="000000"/>
                <w:shd w:val="clear" w:color="auto" w:fill="ffffff"/>
              </w:rPr>
              <w:t xml:space="preserve">В соответствии с приказом министерства образования от 24.04.2023 № 01-21/693 в 16 общеобразовательных организациях области реализуется модуль «Самбо». В 27 общеобразовательных организациях р</w:t>
            </w:r>
            <w:r>
              <w:rPr>
                <w:color w:val="000000"/>
                <w:shd w:val="clear" w:color="auto" w:fill="ffffff"/>
              </w:rPr>
              <w:t xml:space="preserve">еализуется модуль «Футбол» в рамках реализации проекта «Футбол – в школу». Школам рекомендованы к внедрению модули по видам спорта, одобренные Федеральным учебно-методическим объединением по общему образованию Министерства просвещения Российской Федерации </w:t>
            </w:r>
            <w:r>
              <w:rPr>
                <w:color w:val="000000"/>
                <w:shd w:val="clear" w:color="auto" w:fill="ffffff"/>
              </w:rPr>
              <w:t xml:space="preserve">(Протокол от 23 июня 2022 г. № 3/22) и включенные в реестр примерных основных общеобразовательных программ</w:t>
            </w:r>
            <w:r>
              <w:rPr>
                <w:color w:val="000000"/>
                <w:shd w:val="clear" w:color="auto" w:fill="ffffff"/>
              </w:rPr>
              <w:t xml:space="preserve">.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Разработка дополнительных образовательных программ спортивной подготовки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</w:pPr>
            <w:r>
              <w:rPr>
                <w:szCs w:val="28"/>
              </w:rPr>
              <w:t xml:space="preserve">Отчет на межведомственном совете</w:t>
            </w:r>
            <w:r/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 01.01.2023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tabs>
                <w:tab w:val="left" w:pos="923" w:leader="none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r>
              <w:t xml:space="preserve">Разработанная </w:t>
            </w:r>
            <w:r>
              <w:t xml:space="preserve">ГБУДО «Оренбургская областная спортивная </w:t>
            </w:r>
            <w:r>
              <w:t xml:space="preserve">школа» </w:t>
            </w:r>
            <w:r>
              <w:t xml:space="preserve"> дополнительная</w:t>
            </w:r>
            <w:r>
              <w:t xml:space="preserve"> адаптированная общеобразовательная программа для детей с ограниченными возможн</w:t>
            </w:r>
            <w:r>
              <w:t xml:space="preserve">остями здоровья и детей-инвалидов по зрению вошла в Федеральный реестр программ. Программа содержит элементы различных видов спорта, развивает командные, индивидуальные и игровые виды деятельности, способствующие физическому, духовному, интеллектуальному, </w:t>
            </w:r>
            <w:r>
              <w:t xml:space="preserve">здоровьесберегающему</w:t>
            </w:r>
            <w:r>
              <w:t xml:space="preserve"> и патриотическому воспитанию детей.</w:t>
            </w:r>
            <w:r/>
          </w:p>
          <w:p>
            <w:r>
              <w:t xml:space="preserve">В рамках проведения курсов повышения квалификации в </w:t>
            </w:r>
            <w:r>
              <w:t xml:space="preserve">ИФКиС</w:t>
            </w:r>
            <w:r>
              <w:t xml:space="preserve"> ОГПУ, в которых приняли участие представители 38 </w:t>
            </w:r>
            <w:r>
              <w:t xml:space="preserve">спортивных  школ</w:t>
            </w:r>
            <w:r>
              <w:t xml:space="preserve">, при методическом сопровождении, были разработаны </w:t>
            </w:r>
            <w:r>
              <w:rPr>
                <w:szCs w:val="28"/>
              </w:rPr>
              <w:t xml:space="preserve">дополнительные </w:t>
            </w:r>
            <w:r>
              <w:rPr>
                <w:szCs w:val="28"/>
              </w:rPr>
              <w:t xml:space="preserve">образовательные программы спортивной подготовки по видам спорта, реализуемых в этих школах.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10</w:t>
            </w:r>
            <w:r>
              <w:rPr>
                <w:color w:val="ff0000"/>
                <w:szCs w:val="28"/>
              </w:rPr>
              <w:t xml:space="preserve">.</w:t>
            </w:r>
            <w:r>
              <w:rPr>
                <w:color w:val="ff0000"/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Мониторинг реализации </w:t>
            </w:r>
            <w:r>
              <w:rPr>
                <w:color w:val="ff0000"/>
                <w:szCs w:val="28"/>
              </w:rPr>
              <w:t xml:space="preserve">региональной  Программы</w:t>
            </w:r>
            <w:r>
              <w:rPr>
                <w:color w:val="ff0000"/>
                <w:szCs w:val="28"/>
              </w:rPr>
              <w:t xml:space="preserve"> развития детско-юношеского спорта</w:t>
            </w:r>
            <w:r>
              <w:rPr>
                <w:color w:val="ff0000"/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Отчет на межведомственном совете</w:t>
            </w:r>
            <w:r>
              <w:rPr>
                <w:color w:val="ff0000"/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4 кв. 2022 г, далее ежегодно</w:t>
            </w:r>
            <w:r>
              <w:rPr>
                <w:color w:val="ff0000"/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  <w:p>
            <w:pPr>
              <w:ind w:right="-1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</w:r>
            <w:r>
              <w:rPr>
                <w:color w:val="ff0000"/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708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ind w:firstLine="708"/>
            </w:pPr>
            <w:r>
              <w:rPr>
                <w:szCs w:val="28"/>
              </w:rPr>
              <w:t xml:space="preserve">.Формирование</w:t>
            </w:r>
            <w:r>
              <w:rPr>
                <w:szCs w:val="28"/>
              </w:rPr>
              <w:t xml:space="preserve"> и развитие сети организаций, обеспечивающих развитие детско-юношеского спорта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  <w:t xml:space="preserve">3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частных организаций, реализующих дополнительные общеобразовательные программы физкультурно-спортивной направленности 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материалов мониторинга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кв. 2022 г, далее 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министерство здравоохранения, департамент молодежной политики, РООО «Юность России»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r>
              <w:rPr>
                <w:szCs w:val="28"/>
                <w:shd w:val="clear" w:color="auto" w:fill="ffffff"/>
              </w:rPr>
              <w:t xml:space="preserve">П</w:t>
            </w:r>
            <w:r>
              <w:rPr>
                <w:szCs w:val="28"/>
                <w:shd w:val="clear" w:color="auto" w:fill="ffffff"/>
              </w:rPr>
              <w:t xml:space="preserve">рограммы дополнительного образования детей физкультурно-спортивной направл</w:t>
            </w:r>
            <w:r>
              <w:rPr>
                <w:szCs w:val="28"/>
                <w:shd w:val="clear" w:color="auto" w:fill="ffffff"/>
              </w:rPr>
              <w:t xml:space="preserve">енности реализуются не только в муниципальных и в государственных организациях, но и в НКО. Некоммерческая организация разместила в Навигаторе дополнительного образования детей Оренбургской области дополнительную общеобразовательную программу с охватом 30 </w:t>
            </w:r>
            <w:r>
              <w:rPr>
                <w:shd w:val="clear" w:color="auto" w:fill="ffffff"/>
              </w:rPr>
              <w:t xml:space="preserve">человек подростков.</w:t>
            </w:r>
            <w:r/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ind w:firstLine="708"/>
              <w:jc w:val="center"/>
            </w:pPr>
            <w:r>
              <w:rPr>
                <w:szCs w:val="28"/>
              </w:rPr>
              <w:t xml:space="preserve">Цифровая трансформация детско-юношеского спорта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14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Создание личных кабинетов организаций, обеспечивающих развитие детско-юношеского спорта, на </w:t>
            </w:r>
            <w:r>
              <w:rPr>
                <w:szCs w:val="28"/>
              </w:rPr>
              <w:t xml:space="preserve">государственной  информационной</w:t>
            </w:r>
            <w:r>
              <w:rPr>
                <w:szCs w:val="28"/>
              </w:rPr>
              <w:t xml:space="preserve"> системе </w:t>
            </w:r>
            <w:r>
              <w:rPr>
                <w:szCs w:val="28"/>
              </w:rPr>
              <w:t xml:space="preserve">«Физическая культура и спорт»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Аналитическая справка</w:t>
            </w:r>
            <w:r>
              <w:rPr>
                <w:szCs w:val="28"/>
              </w:rPr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33 спортивные школы системы образования имеют личные кабинеты на единой информационной площадке по направлению физическая культура и спорт в образовании (</w:t>
            </w:r>
            <w:r>
              <w:rPr>
                <w:szCs w:val="28"/>
              </w:rPr>
              <w:t xml:space="preserve">еип-фкис.рф</w:t>
            </w:r>
            <w:r>
              <w:rPr>
                <w:szCs w:val="28"/>
              </w:rPr>
              <w:t xml:space="preserve">)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  <w:p>
            <w:r>
              <w:t xml:space="preserve">Осуществляется </w:t>
            </w:r>
            <w:r>
              <w:t xml:space="preserve">регистрация  спортивных</w:t>
            </w:r>
            <w:r>
              <w:t xml:space="preserve"> школ Оренбургской области на единой цифровой платформе «физкультура и спорт» (ГИС «Спорт»)</w:t>
            </w:r>
            <w:r>
              <w:t xml:space="preserve">.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15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Промышленная эксплуатация</w:t>
            </w:r>
            <w:r>
              <w:rPr>
                <w:szCs w:val="28"/>
              </w:rPr>
              <w:t xml:space="preserve"> государственной информационной системы «Единая цифровая платформа «Физическая культур</w:t>
            </w:r>
            <w:r>
              <w:rPr>
                <w:szCs w:val="28"/>
              </w:rPr>
              <w:t xml:space="preserve">а и спорт» на территории Оренбургской области и ведение публичного информационного ресурса «Навигатор дополнительного образования детей Оренбургской области» в части обеспечения возможности реализации записи на прием по направлению детско-юношеского спорта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Методические рекомендации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01.01.2023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цифрового развития и связи</w:t>
            </w:r>
            <w:r>
              <w:rPr>
                <w:szCs w:val="28"/>
              </w:rPr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рамках реализации регионального проекта «Успех каждого ребенка» на территории Оренбургской области действует навигатор дополнительного образования.  </w:t>
            </w:r>
            <w:r>
              <w:rPr>
                <w:shd w:val="clear" w:color="auto" w:fill="ffffff"/>
              </w:rPr>
              <w:t xml:space="preserve">На сегодняшний день в </w:t>
            </w:r>
            <w:r>
              <w:rPr>
                <w:shd w:val="clear" w:color="auto" w:fill="ffffff"/>
              </w:rPr>
              <w:t xml:space="preserve">систему Навигатор ДОД загружено 13028 образовательных программ. В том числе: естественно-научной – 1964, физкультурно-спортивной – 1872, туристско-краеведческой – 682, технической – 1305, художественной – 3090, социально-гуманитарной – 4115 направленностей</w:t>
            </w:r>
            <w:r>
              <w:rPr>
                <w:shd w:val="clear" w:color="auto" w:fill="ffffff"/>
              </w:rPr>
              <w:t xml:space="preserve">.</w:t>
            </w:r>
            <w:r>
              <w:rPr>
                <w:shd w:val="clear" w:color="auto" w:fill="ffffff"/>
              </w:rPr>
            </w:r>
          </w:p>
          <w:p>
            <w:r>
              <w:t xml:space="preserve">Осуществляется </w:t>
            </w:r>
            <w:r>
              <w:t xml:space="preserve">регистрация  спортивных</w:t>
            </w:r>
            <w:r>
              <w:t xml:space="preserve"> школ Оренбургской области на единой цифровой платформе «физкультура и спорт» (ГИС «Спорт»)</w:t>
            </w:r>
            <w:r>
              <w:t xml:space="preserve">.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16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Популяризация детско-юношеского спорта в социальных сетях и в иных СМИ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Информационный отчет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ежегодно  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708"/>
            </w:pPr>
            <w:r/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17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t xml:space="preserve">Повышение уровня цифровых </w:t>
            </w:r>
            <w:r>
              <w:t xml:space="preserve">компетенций  работников</w:t>
            </w:r>
            <w:r>
              <w:t xml:space="preserve"> сферы физической </w:t>
            </w:r>
            <w:r>
              <w:rPr>
                <w:szCs w:val="28"/>
              </w:rPr>
              <w:t xml:space="preserve">  культуры и спорта</w:t>
            </w:r>
            <w:r>
              <w:t xml:space="preserve"> 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t xml:space="preserve">Программа обучения 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t xml:space="preserve">2023 г., далее 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цифрового развития и связи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r>
              <w:t xml:space="preserve">Осуществляется в</w:t>
            </w:r>
            <w:r>
              <w:t xml:space="preserve">несение необходимой </w:t>
            </w:r>
            <w:r>
              <w:t xml:space="preserve">информации  на</w:t>
            </w:r>
            <w:r>
              <w:t xml:space="preserve"> единую цифровую платформу «физкультура и спорт» (ГИС «Спорт») учреждениями спорта Оренбургской области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18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</w:pPr>
            <w:r>
              <w:t xml:space="preserve">Содействие в развитии и популяризации компьютерного спорта  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</w:pPr>
            <w:r/>
            <w:r/>
          </w:p>
          <w:p>
            <w:pPr>
              <w:jc w:val="center"/>
            </w:pPr>
            <w:r>
              <w:t xml:space="preserve">Информационный отчет</w:t>
            </w:r>
            <w:r/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</w:pPr>
            <w:r>
              <w:t xml:space="preserve">Весь период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минцифра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r>
              <w:t xml:space="preserve">На данном этапе разрабатывается концепция взаимодействия федерации компьютерного спорта Оренбургской области, </w:t>
            </w:r>
            <w:r>
              <w:t xml:space="preserve">Минспортом</w:t>
            </w:r>
            <w:r>
              <w:t xml:space="preserve"> и </w:t>
            </w:r>
            <w:r>
              <w:t xml:space="preserve">Минобром</w:t>
            </w:r>
            <w:r>
              <w:t xml:space="preserve"> ОО (в дальнейшем создание лиги по данному виду спорта)</w:t>
            </w:r>
            <w:r/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ind w:firstLine="708"/>
            </w:pPr>
            <w:r>
              <w:rPr>
                <w:szCs w:val="28"/>
              </w:rPr>
              <w:t xml:space="preserve">6. Развитие кадрового потенциал организаций, обеспечивающих развитие детско-юношеского спорта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t xml:space="preserve">Разработка и утверждение регионального плана мероприятий по переподготовке и повышению квалификации тренерско-преподавательских, медицинских и управленческих кадров, работающих в организациях, осуществляющих деятельность в области детско-юношеского спорта 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t xml:space="preserve">Мониторинг мероприятий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t xml:space="preserve">IV квартал 2022 года; далее -ежегодно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</w:pPr>
            <w:r>
              <w:t xml:space="preserve">В рамках курсовой подготовки в </w:t>
            </w:r>
            <w:r>
              <w:t xml:space="preserve">институте физической культуры и спорта ФГБОУ ВО «Оренбургский государственный педагогический университет»</w:t>
            </w:r>
            <w:r>
              <w:t xml:space="preserve"> разработаны дополнительные образовательные программы спортивной подготовки по видам спорта.</w:t>
            </w:r>
            <w:r/>
          </w:p>
          <w:p>
            <w:r>
              <w:t xml:space="preserve">«Мониторинговые исследования здоровья обучающихся и здоровьесберегающей среды в образовательных организациях» в ФГБНУ «ИВФ РАО».</w:t>
            </w:r>
            <w:r/>
          </w:p>
          <w:p>
            <w:r>
              <w:t xml:space="preserve">ФГБУ ВО ОГПУ: «Инструктор-методист физкультурно-оздоровительной и спортивно-</w:t>
            </w:r>
            <w:r>
              <w:t xml:space="preserve">массовой работы» (576 часов), «Теоретико-методические аспекты спортивной подготовки (организация деятельности учрежде</w:t>
            </w:r>
            <w:r>
              <w:t xml:space="preserve">ний дополнительного образования, реализующих программы спортивной подготовки)» (72 часа), «Организация учебного процесса в форме электронного обучения с применениям дистанционных технологий, смешанного обучения» (36 часов), «Функциональные тренировки разли</w:t>
            </w:r>
            <w:r>
              <w:t xml:space="preserve">чных форматов» (36 часов), «Современные подходы в методике обучения технике игры в баскетбол» (36 часов), «Подготовка судей по спортивному туризму» (36 часов), «Теоретико-методологические аспекты спортивной подготовки» (в избранном виде спорта) (36 часов).</w:t>
            </w:r>
            <w:r/>
          </w:p>
          <w:p>
            <w:r>
              <w:t xml:space="preserve">ГБПОУ УОР в 2022 году реализовал следующие программы дополнительного профессионального образования (переподготовка): Основы </w:t>
            </w:r>
            <w:r>
              <w:t xml:space="preserve">спортивной тренировки в избранном виде спорта </w:t>
            </w:r>
            <w:r>
              <w:t xml:space="preserve">и  т.д.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регионального этапа Всероссийского конкурса педагогического мастерства работников физкультурно-спортивного профиля 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Приказ об итогах конкурса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r>
              <w:t xml:space="preserve">Приказ министерства образования Оренбургской области от 19.04.2023 № 01-21/651 «О проведении регионального этапа Всероссийского конкурса профессионального мастерства»</w:t>
            </w:r>
            <w:r/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ind w:firstLine="708"/>
            </w:pPr>
            <w:r>
              <w:rPr>
                <w:szCs w:val="28"/>
              </w:rPr>
              <w:t xml:space="preserve">Совершенствование системы физкультурных мероприятий и спортивных мероприятий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</w:t>
            </w: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Разработка и реализация комплекса мер, </w:t>
            </w:r>
            <w:r>
              <w:rPr>
                <w:szCs w:val="28"/>
              </w:rPr>
              <w:t xml:space="preserve">направленных  на</w:t>
            </w:r>
            <w:r>
              <w:rPr>
                <w:szCs w:val="28"/>
              </w:rPr>
              <w:t xml:space="preserve"> создание школьных спортивных лиг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Методические рекомендации, заключение договоров с федерациями по видам спорта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кв. 2022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Заключены соглашения по организации деятельности школьных спортивных лиг с региональными федерациями баскетбола, тэг-регби, футбола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  <w:p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По состоянию на 10.02.2023 года на территории Оренбургской области создана школьная спортивная лига по тэг-регби, учредителем которой стала НКО (руководитель </w:t>
            </w:r>
            <w:r>
              <w:rPr>
                <w:szCs w:val="28"/>
              </w:rPr>
              <w:t xml:space="preserve">Пахтанов</w:t>
            </w:r>
            <w:r>
              <w:rPr>
                <w:szCs w:val="28"/>
              </w:rPr>
              <w:t xml:space="preserve"> В.В., частная школа «Рекорд» г. Орска).</w:t>
            </w:r>
            <w:r>
              <w:rPr>
                <w:szCs w:val="28"/>
              </w:rPr>
            </w:r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22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системы спортивных соревнований школьных спортивных лиг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Единый календарный план спортивно-массовых мероприятий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кв. 2022, далее - 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департамент молодежной политики, РООО «Юность России»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77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рамках заключенных договоров с областными федерациями по видам спорта: </w:t>
            </w:r>
            <w:r>
              <w:rPr>
                <w:szCs w:val="28"/>
              </w:rPr>
            </w:r>
          </w:p>
          <w:p>
            <w:pPr>
              <w:pStyle w:val="677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проведены соревнования ШСЛ по детской легкой атлетике, в которых приняли участие 18 школьных спортивных клубов из 16 территорий области (165 </w:t>
            </w:r>
            <w:r>
              <w:rPr>
                <w:szCs w:val="28"/>
              </w:rPr>
              <w:t xml:space="preserve">участников), соревнования по прыжкам «Лучший прыгун» - 8 школьных спортивных клубов (50 участников);</w:t>
            </w:r>
            <w:r>
              <w:rPr>
                <w:szCs w:val="28"/>
              </w:rPr>
            </w:r>
          </w:p>
          <w:p>
            <w:pPr>
              <w:pStyle w:val="677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 соревнованиях ШСЛ по баскетболу приняли участие 10 школьных спортивных клуба (90 участников) из 8 муниципалитетов области;</w:t>
            </w:r>
            <w:r>
              <w:rPr>
                <w:szCs w:val="28"/>
              </w:rPr>
            </w:r>
          </w:p>
          <w:p>
            <w:pPr>
              <w:pStyle w:val="677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 соревнованиях по футболу приняли участие школьные спортивные клубы 31 муниципалитета.</w:t>
            </w:r>
            <w:r>
              <w:rPr>
                <w:szCs w:val="28"/>
              </w:rPr>
            </w:r>
          </w:p>
          <w:p>
            <w:pPr>
              <w:pStyle w:val="677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 соревнованиях ШСЛ по лапте приняли участие 101 школьных спортивных клуба (110 участников).</w:t>
            </w:r>
            <w:r>
              <w:rPr>
                <w:szCs w:val="28"/>
              </w:rPr>
            </w:r>
          </w:p>
          <w:p>
            <w:pPr>
              <w:pStyle w:val="677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Проводятся областные соревнований школьной спортивной лиги «Президентские спортивные игры» - 28 ШСК – 288 чел., областные соревнования школьной спортивной лиги «Президентские состязания» - 29 ШСК – 214 чел.</w:t>
            </w:r>
            <w:r>
              <w:rPr>
                <w:szCs w:val="28"/>
              </w:rPr>
            </w:r>
          </w:p>
          <w:p>
            <w:pPr>
              <w:pStyle w:val="677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Школьные спортивные клубы объединяются в школьные спортивные лиги («Легкая атлетика» - 23 клуба, «Баскетбол» - 10 клубов, «Футбол» - 28 клубов, «Лапта» - 10 клубов).</w:t>
            </w:r>
            <w:r>
              <w:rPr>
                <w:szCs w:val="28"/>
              </w:rPr>
            </w:r>
          </w:p>
          <w:p>
            <w:pPr>
              <w:ind w:firstLine="708"/>
            </w:pPr>
            <w:r/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23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системы физкультурных мероприятий и соревнований для обучающихся с ограниченными возможностями и детей-инвалидов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Единый календарный план спортивно-массовых мероприятий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3 кв. 2023 г., далее - 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министерство образования, департамент молодежной политики, РООО «Юность России»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41"/>
            </w:pPr>
            <w:r>
              <w:t xml:space="preserve">Министерство физической культуры и спорта Оренбургской области реализует меры по развитию физической культуры и спорта среди инвалидов и лиц с ограниченными возможностями здоровья. ЕКП https://minsport.orb.ru/documents/active/113098/</w:t>
            </w:r>
            <w:r/>
          </w:p>
          <w:p>
            <w:pPr>
              <w:ind w:firstLine="708"/>
            </w:pPr>
            <w:r>
              <w:t xml:space="preserve">Министерство совместно с органами местного самоуправления, физкультурно-спортивными объединениями и физкультурно-спортивными объ</w:t>
            </w:r>
            <w:r>
              <w:t xml:space="preserve">единениями инвалидов участвует в организации физкультурно-оздоровительной работы, проведении физкультурно-оздоровительных и спортивных мероприятий, подготовке спортсменов-инвалидов и обеспечении их направления на Всероссийские и международные соревнования.</w:t>
            </w:r>
            <w:r/>
          </w:p>
          <w:p>
            <w:pPr>
              <w:ind w:firstLine="34"/>
            </w:pPr>
            <w:r>
              <w:t xml:space="preserve">Оренбургской области разработан единый календарный план спортивно-массовых мероприятий на 2023 год, в который включены многоэтапные спортивные </w:t>
            </w:r>
            <w:r>
              <w:t xml:space="preserve">мероприятия для всех категорий обучающихся, в том числе и для детей с ОВЗ и инвалидов.</w:t>
            </w:r>
            <w:r/>
          </w:p>
          <w:p>
            <w:pPr>
              <w:ind w:firstLine="34"/>
            </w:pPr>
            <w:r>
              <w:t xml:space="preserve">Физическая реабилита</w:t>
            </w:r>
            <w:r>
              <w:t xml:space="preserve">ция и социальная адаптация инвалидов и лиц с ОВЗ с использованием методов адаптивной физической культуры осуществляются в четырех физкультурно-спортивных организациях подведомственных министерству физической культуре и спорта Оренбургской области (далее – </w:t>
            </w:r>
            <w:r>
              <w:t xml:space="preserve">министрество</w:t>
            </w:r>
            <w:r>
              <w:t xml:space="preserve">): </w:t>
            </w:r>
            <w:r/>
          </w:p>
          <w:p>
            <w:pPr>
              <w:ind w:firstLine="34"/>
            </w:pPr>
            <w:r>
              <w:t xml:space="preserve">- ГАУ ОО «Спортивная школа олимпийского резерва №2»; </w:t>
            </w:r>
            <w:r/>
          </w:p>
          <w:p>
            <w:pPr>
              <w:ind w:firstLine="34"/>
            </w:pPr>
            <w:r>
              <w:t xml:space="preserve">- ГАУ ОО «Спортивная школа олимпийского резерва №4»;</w:t>
            </w:r>
            <w:r/>
          </w:p>
          <w:p>
            <w:pPr>
              <w:ind w:firstLine="34"/>
            </w:pPr>
            <w:r>
              <w:t xml:space="preserve">- ГАУ ОО «Спортивная школа олимпийского резерва № 6 - спортивно-культурный комплекс «Оренбуржье»;</w:t>
            </w:r>
            <w:r/>
          </w:p>
          <w:p>
            <w:pPr>
              <w:ind w:firstLine="34"/>
            </w:pPr>
            <w:r>
              <w:t xml:space="preserve">- ГБПОУ «Училище (техникум) Олимпийского резерва».</w:t>
            </w:r>
            <w:r/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ind w:firstLine="708"/>
            </w:pPr>
            <w:r>
              <w:rPr>
                <w:szCs w:val="28"/>
              </w:rPr>
              <w:t xml:space="preserve">Развитие инфраструктуры и материально-технического обеспечения организаций, осуществляющих деятельность в области детско-юношеского спорта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24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 xml:space="preserve">оздоровительных смен </w:t>
            </w:r>
            <w:r>
              <w:rPr>
                <w:szCs w:val="28"/>
              </w:rPr>
              <w:t xml:space="preserve">для проведения социально-значимых спортивных мероприятий и </w:t>
            </w:r>
            <w:r>
              <w:rPr>
                <w:szCs w:val="28"/>
              </w:rPr>
              <w:t xml:space="preserve">подготовки к всероссийским соревнованиям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График смен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кв. 2022 г., далее 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2022 году в августе на базе ДОЦ «Солнечная страна» проведена смена для участников Всероссийского этапа Всероссийских спортивных </w:t>
            </w:r>
            <w:r>
              <w:rPr>
                <w:szCs w:val="28"/>
              </w:rPr>
              <w:t xml:space="preserve">соревнований школьников «Президентские состязания».</w:t>
            </w:r>
            <w:r>
              <w:rPr>
                <w:szCs w:val="28"/>
              </w:rPr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марте 2023 года на базе ДОЦ «Город детства» проведен региональный этап Всероссийских игр школьных спортивных клубов.</w:t>
            </w:r>
            <w:r>
              <w:rPr>
                <w:szCs w:val="28"/>
              </w:rPr>
            </w:r>
          </w:p>
          <w:p>
            <w:pPr>
              <w:ind w:firstLine="708"/>
            </w:pPr>
            <w:r>
              <w:rPr>
                <w:szCs w:val="28"/>
              </w:rPr>
              <w:t xml:space="preserve">Ежегодно в ДОЛ </w:t>
            </w:r>
            <w:r>
              <w:rPr>
                <w:szCs w:val="28"/>
              </w:rPr>
              <w:t xml:space="preserve">оздоравливаются</w:t>
            </w:r>
            <w:r>
              <w:rPr>
                <w:szCs w:val="28"/>
              </w:rPr>
              <w:t xml:space="preserve"> в условиях проведения учебно-тренировочных сборов около 900 юных спортсменов.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26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</w:pPr>
            <w: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</w:pPr>
            <w:r>
              <w:t xml:space="preserve">Информационные отчеты</w:t>
            </w:r>
            <w:r/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</w:pPr>
            <w:r>
              <w:t xml:space="preserve">начиная с I квартала 2022 года далее – ежегодно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709"/>
              <w:jc w:val="both"/>
            </w:pPr>
            <w:r>
              <w:t xml:space="preserve">В общеобразовательных организациях Оренбургской области, расположенных в сельской местности и малых городах, обновляется материально-техниче</w:t>
            </w:r>
            <w:r>
              <w:t xml:space="preserve">ская база для занятий детей физической культурой и спортом за счет субсидий из федерального бюджета. Ежегодно в Оренбургской области осуществляется капитальный ремонт спортивных залов 25 общеобразовательных организаций, приобретается спортивный инвентарь. </w:t>
            </w:r>
            <w:r/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ind w:firstLine="708"/>
            </w:pPr>
            <w:r>
              <w:rPr>
                <w:szCs w:val="28"/>
              </w:rPr>
              <w:t xml:space="preserve">Совершенствование системы </w:t>
            </w:r>
            <w:r>
              <w:rPr>
                <w:szCs w:val="28"/>
              </w:rPr>
              <w:t xml:space="preserve">отбора спортивно одаренных детей и их спортивной ориентации для занятий видами спорта, в том числе адаптивными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27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образовательных смен по направлению «Спорт» на базе регионального центра выявления и поддержи одаренных детей «Гагарин»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Образовательные программы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 кв. 2022 г., далее - 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r>
              <w:t xml:space="preserve">В 2023 году б</w:t>
            </w:r>
            <w:r>
              <w:t xml:space="preserve">ыла проведена образовательная смена по шахматам, в которой приняли участие 90 обучающихся из 18 муниципальных образований В 2023 году была проведена образовательная смена по шахматам, в которой приняли участие 90 обучающихся из 18 муниципальных образований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Формирование культуры «нулевой» терпимости к допингу в спорте на основе создания информационно-образовательных программ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Методические рекомендации, модуль образовательной программы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</w:pPr>
            <w:r>
              <w:rPr>
                <w:szCs w:val="28"/>
              </w:rPr>
              <w:t xml:space="preserve">3 кв. 2022 г.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3"/>
              </w:numPr>
              <w:ind w:left="0" w:firstLine="0"/>
            </w:pPr>
            <w:r>
              <w:t xml:space="preserve">Проведение лекций, встреч с медицинскими работниками по вопросу формирования отрицательного отношения у молодых спортсменов к допингу и других </w:t>
            </w:r>
            <w:r>
              <w:t xml:space="preserve">психоактивных</w:t>
            </w:r>
            <w:r>
              <w:t xml:space="preserve"> веществ-1 раз в квартал по всем спортивным школам </w:t>
            </w:r>
            <w:r>
              <w:t xml:space="preserve">Минспорта</w:t>
            </w:r>
            <w:r>
              <w:t xml:space="preserve"> и </w:t>
            </w:r>
            <w:r>
              <w:t xml:space="preserve">Минобра</w:t>
            </w:r>
            <w:r>
              <w:t xml:space="preserve"> ОО</w:t>
            </w:r>
            <w:r/>
          </w:p>
          <w:p>
            <w:r>
              <w:t xml:space="preserve">2. </w:t>
            </w:r>
            <w:r>
              <w:t xml:space="preserve">Осуществление медицинского наблюдения и освидетельствования спортсменов два раза в </w:t>
            </w:r>
            <w:r>
              <w:t xml:space="preserve">год.   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29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Разработка дополнительных образовательных программ спортивной подготовки по вида спорта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программ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кв. 2022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708"/>
            </w:pPr>
            <w:r>
              <w:t xml:space="preserve">Для внедрения дополнительных общеобразовательных программ физкультурно-спортивной направленности в том числе для детей с ОВЗ, инвалидностью в 2022 году разработаны и прошли апробацию в </w:t>
            </w:r>
            <w:r>
              <w:t xml:space="preserve">специ</w:t>
            </w:r>
            <w:r>
              <w:t xml:space="preserve">ализированных (коррекционных) учреждениях области ряд программно-методический документов. На базе государственного казенного общеобразовательного учреждения «Специальная (коррекционная) школа-интернат № 2» г. Оренбурга реализуется адаптированная дополнител</w:t>
            </w:r>
            <w:r>
              <w:t xml:space="preserve">ьная общеобразовательная программа физкультурно-спортивной направленности по легкой атлетике для детей с ослабленным зрением (в том числе со слепотой), автор программы – Шляпникова В.В., кандидат педагогических наук, победитель Всероссийского конкурса проф</w:t>
            </w:r>
            <w:r>
              <w:t xml:space="preserve">ессионального мастерства работников сферы образования. Программа Шляпниковой В.В. прошла экспертизу в федеральном центре организационно-методического обеспечения физического воспитания, рекомендована в качестве примерной программы по данному направлению и </w:t>
            </w:r>
            <w:r>
              <w:t xml:space="preserve">размещена на сайте федерального центра. </w:t>
            </w:r>
            <w:r/>
          </w:p>
          <w:p>
            <w:pPr>
              <w:ind w:firstLine="708"/>
            </w:pPr>
            <w:r>
              <w:t xml:space="preserve">На ряду с этим в течение 2022 года разработан ряд методических материалов для педагогов, работающих с детьми с ОВЗ:</w:t>
            </w:r>
            <w:r/>
          </w:p>
          <w:p>
            <w:pPr>
              <w:ind w:firstLine="708"/>
            </w:pPr>
            <w:r>
              <w:t xml:space="preserve">‒</w:t>
            </w:r>
            <w:r>
              <w:tab/>
            </w:r>
            <w:r>
              <w:t xml:space="preserve">видео-материалы</w:t>
            </w:r>
            <w:r>
              <w:t xml:space="preserve"> «Рекомендации по организации подвижной игры </w:t>
            </w:r>
            <w:r>
              <w:t xml:space="preserve">Ти</w:t>
            </w:r>
            <w:r>
              <w:t xml:space="preserve">-Би», «Подбор упражнений: суставные, дыхательные, силовые, статические», «Общеразвивающие упражнения с гантелями»;</w:t>
            </w:r>
            <w:r/>
          </w:p>
          <w:p>
            <w:pPr>
              <w:ind w:firstLine="708"/>
            </w:pPr>
            <w:r>
              <w:t xml:space="preserve">‒</w:t>
            </w:r>
            <w:r>
              <w:tab/>
              <w:t xml:space="preserve">методической пособие «Формирование двигательных навыков для детей с ослабленным зрением».</w:t>
            </w:r>
            <w:r/>
          </w:p>
          <w:p>
            <w:pPr>
              <w:ind w:firstLine="708"/>
            </w:pPr>
            <w:r>
              <w:t xml:space="preserve">Программно-методические материалы размещены на официальных сайтах образовательных организаций.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30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Модернизация структурных подразделений, отвечающих за организацию работы по индивидуальному отбору спортивно-одаренных детей, в том числе в </w:t>
            </w:r>
            <w:r>
              <w:rPr>
                <w:szCs w:val="28"/>
              </w:rPr>
              <w:t xml:space="preserve">отношении детей-инвалидов и детей с ограниченными возможностями здоровья в ГАУ «Центр спортивной подготовки Оренбургской области»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Методические рекомендации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кв. 2022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41"/>
            </w:pPr>
            <w:r>
              <w:t xml:space="preserve">ГАУ «Центр спортивной подготовки Оренбургской области» осуществляет комплектацию сборных команд по видам спорта, по итогам официальных соревнований (первенств и чемпионатов) Оренбургской области.</w:t>
            </w:r>
            <w:r/>
          </w:p>
          <w:p>
            <w:pPr>
              <w:ind w:firstLine="708"/>
            </w:pPr>
            <w:r/>
            <w:r/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ind w:firstLine="708"/>
              <w:tabs>
                <w:tab w:val="left" w:pos="3132" w:leader="none"/>
              </w:tabs>
            </w:pPr>
            <w:r>
              <w:tab/>
            </w:r>
            <w:r>
              <w:rPr>
                <w:szCs w:val="28"/>
              </w:rPr>
              <w:t xml:space="preserve">Совершенствование системы научно-методического, медико-биологического, медицинского и антидопингового обеспечения детско-юношеского спорта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2"/>
              </w:numPr>
              <w:ind w:left="0"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31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Формирование системы медицинского сопровождения участников детско-юношеского спорта, внедрение единой базы медицинского наблюдения за детьми, систематически занимающимися физической культурой и спортом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Методические рекомендации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кв. 2022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здравоохранения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708"/>
            </w:pPr>
            <w:r/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32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Обеспечение спортивных школ профильными врачами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переподготовки медицинских работников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кв. 2022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Министерство здравоохранения, министерство образования 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708"/>
            </w:pPr>
            <w:r/>
            <w:r/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ind w:firstLine="708"/>
            </w:pPr>
            <w:r>
              <w:rPr>
                <w:szCs w:val="28"/>
              </w:rPr>
              <w:t xml:space="preserve">Создание условий для патриотического воспитания обучающихся, занимающихся в организациях, обеспечивающих развитие детско-юношеского спорта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33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t xml:space="preserve">Реализация мероприятий по гражданско-патриотическому воспитанию в сфере физической культуры и спорта, направленное на формирование нравственных идеалов, уважения, честной спортивной игры и других ценностей Олимпийского, </w:t>
            </w:r>
            <w:r>
              <w:t xml:space="preserve">Паралимпийского</w:t>
            </w:r>
            <w:r>
              <w:t xml:space="preserve"> и </w:t>
            </w:r>
            <w:r>
              <w:t xml:space="preserve">Сурдлимпийского</w:t>
            </w:r>
            <w:r>
              <w:t xml:space="preserve"> </w:t>
            </w:r>
            <w:r>
              <w:t xml:space="preserve">д</w:t>
            </w:r>
            <w:r>
              <w:t xml:space="preserve">вижения, среди обучающихся. 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t xml:space="preserve">Информационный отчет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t xml:space="preserve">начиная с 2022 года, далее – 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социально-значимых мероприятий игр школьных спортивных клубов, Президентские состязания, Президентские спортивные игры, областные соревнования среди детей сирот и детей с ОВЗ,</w:t>
            </w:r>
            <w:r>
              <w:rPr>
                <w:szCs w:val="28"/>
              </w:rPr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Областные игры обучающихся «Старты надежд».</w:t>
            </w:r>
            <w:r>
              <w:rPr>
                <w:szCs w:val="28"/>
              </w:rPr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Всего более 80% обучающихся участвуют в данных соревнованиях.</w:t>
            </w:r>
            <w:r>
              <w:rPr>
                <w:szCs w:val="28"/>
              </w:rPr>
            </w:r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34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мастер-классов с ведущими спортсменами России в формате онлайн, </w:t>
            </w:r>
            <w:r>
              <w:rPr>
                <w:szCs w:val="28"/>
              </w:rPr>
              <w:t xml:space="preserve">видео встречи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t xml:space="preserve">Информационный отчет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t xml:space="preserve">начиная с 2022 года, далее – ежегодно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</w:t>
            </w:r>
            <w:r>
              <w:rPr>
                <w:szCs w:val="28"/>
              </w:rPr>
              <w:t xml:space="preserve">инспорт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708"/>
            </w:pPr>
            <w:r>
              <w:t xml:space="preserve">В рамках проведения всероссийских соревнований по видам спорта, в регионе проводятся мастер классы для обучающихся с ведущими спортсменами России. В 2023 году были проведены мастер-классы по боксу, легкой атлетике, лыжным гонкам.</w:t>
            </w:r>
            <w:r/>
          </w:p>
        </w:tc>
      </w:tr>
      <w:tr>
        <w:tblPrEx/>
        <w:trPr/>
        <w:tc>
          <w:tcPr>
            <w:gridSpan w:val="6"/>
            <w:tcW w:w="15452" w:type="dxa"/>
            <w:textDirection w:val="lrTb"/>
            <w:noWrap w:val="false"/>
          </w:tcPr>
          <w:p>
            <w:pPr>
              <w:ind w:firstLine="708"/>
            </w:pPr>
            <w:r>
              <w:rPr>
                <w:szCs w:val="28"/>
              </w:rPr>
              <w:t xml:space="preserve">Создание условий для обучающихся с ограниченными возможностями здоровья и детей инвалидов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35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Разработка адаптированных дополнительных общеобразовательных программ физкультурно-</w:t>
            </w:r>
            <w:r>
              <w:rPr>
                <w:szCs w:val="28"/>
              </w:rPr>
              <w:t xml:space="preserve">спортивной направленности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Методические разработки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кв. 2022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ГБУДО «Оренбургская областная детско-юношеская спортивная школа» разработана дополнительная адаптированная общеобразовательная программа физкультурно-спортивной </w:t>
            </w:r>
            <w:r>
              <w:rPr>
                <w:szCs w:val="28"/>
              </w:rPr>
              <w:t xml:space="preserve">направленности для детей с ОВЗ и инвалидов по зрению.</w:t>
            </w:r>
            <w:r>
              <w:rPr>
                <w:szCs w:val="28"/>
              </w:rPr>
            </w:r>
          </w:p>
          <w:p>
            <w:r>
              <w:rPr>
                <w:szCs w:val="28"/>
              </w:rPr>
              <w:t xml:space="preserve">Программа включена в Федеральный перечень программ.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36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Приобретение специализированного спортивного инвентаря и оборудования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Отчет по результатам мониторинга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708"/>
            </w:pPr>
            <w:r>
              <w:t xml:space="preserve">Спортивный инвентарь и оборудование закупается </w:t>
            </w:r>
            <w:r>
              <w:t xml:space="preserve">в рамках реализации мероприятия «Создание и развитие школьного спо</w:t>
            </w:r>
            <w:r>
              <w:t xml:space="preserve">ртивного клуба» в рамках создания условий для занятия физической культурой и спортом в рамках регионального проекта, обеспечивающего достижение целей, показателей и результата федерального проекта «Успех каждого ребенка» национального проекта «Образование»</w:t>
            </w:r>
            <w:r/>
          </w:p>
        </w:tc>
      </w:tr>
      <w:tr>
        <w:tblPrEx/>
        <w:trPr/>
        <w:tc>
          <w:tcPr>
            <w:tcW w:w="568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37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</w:p>
        </w:tc>
        <w:tc>
          <w:tcPr>
            <w:tcW w:w="3403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доступности спортивной базы</w:t>
            </w:r>
            <w:r>
              <w:rPr>
                <w:szCs w:val="28"/>
              </w:rPr>
              <w:t xml:space="preserve"> общеобразовательных </w:t>
            </w:r>
            <w:r>
              <w:rPr>
                <w:szCs w:val="28"/>
              </w:rPr>
              <w:t xml:space="preserve">организаций </w:t>
            </w:r>
            <w:r>
              <w:rPr>
                <w:szCs w:val="28"/>
              </w:rPr>
              <w:t xml:space="preserve"> для</w:t>
            </w:r>
            <w:r>
              <w:rPr>
                <w:szCs w:val="28"/>
              </w:rPr>
              <w:t xml:space="preserve"> занятий</w:t>
            </w:r>
            <w:r>
              <w:rPr>
                <w:szCs w:val="28"/>
              </w:rPr>
              <w:t xml:space="preserve">  физической культурой и спортом</w:t>
            </w:r>
            <w:r>
              <w:rPr>
                <w:szCs w:val="28"/>
              </w:rPr>
            </w:r>
          </w:p>
        </w:tc>
        <w:tc>
          <w:tcPr>
            <w:tcW w:w="1652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Методические разработки</w:t>
            </w:r>
            <w:r>
              <w:rPr>
                <w:szCs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 кв. 2022 г.</w:t>
            </w:r>
            <w:r>
              <w:rPr>
                <w:szCs w:val="2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миниспорт</w:t>
            </w:r>
            <w:r>
              <w:rPr>
                <w:szCs w:val="28"/>
              </w:rPr>
              <w:t xml:space="preserve">;</w:t>
            </w:r>
            <w:r>
              <w:rPr>
                <w:szCs w:val="28"/>
              </w:rPr>
            </w:r>
          </w:p>
          <w:p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минобр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ind w:firstLine="709"/>
              <w:jc w:val="both"/>
            </w:pPr>
            <w:r>
              <w:t xml:space="preserve">Увеличение количества занимающихся идет за счет расшир</w:t>
            </w:r>
            <w:r>
              <w:t xml:space="preserve">ения сети образовательных организаций, реализующих дополнительные общеобразовательные (общеразвивающие) программы физкультурно-спортивной направленности в рамках деятельности школьных спортивных клубов (далее – ШСК). В настоящее время создано и внесено во </w:t>
            </w:r>
            <w:r>
              <w:t xml:space="preserve">Всероссийский перечень (реестр) 707 ШСК (87,4%). На базе ШСК организована работа 952 секции по видам спорта (</w:t>
            </w:r>
            <w:r>
              <w:t xml:space="preserve">из них 802 в сельской местности), в которых занимаются свыше 14 000 обучающихся. По данным мониторинга, в течении 2022-2023 учебного года ШСК области было проведено 2792 массовых мероприятий по видам спорта, в которых приняли участие более 5000 школьников.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pPr>
        <w:tabs>
          <w:tab w:val="left" w:pos="10234" w:leader="none"/>
        </w:tabs>
      </w:pPr>
      <w:r>
        <w:tab/>
      </w:r>
      <w:r/>
    </w:p>
    <w:p>
      <w:pPr>
        <w:tabs>
          <w:tab w:val="left" w:pos="1476" w:leader="none"/>
        </w:tabs>
      </w:pPr>
      <w:r/>
      <w:r/>
    </w:p>
    <w:sectPr>
      <w:headerReference w:type="default" r:id="rId9"/>
      <w:footnotePr/>
      <w:endnotePr/>
      <w:type w:val="nextPage"/>
      <w:pgSz w:w="16839" w:h="11907" w:orient="landscape"/>
      <w:pgMar w:top="851" w:right="679" w:bottom="709" w:left="1276" w:header="34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</w:pPr>
    <w:r/>
    <w:r/>
  </w:p>
  <w:p>
    <w:pPr>
      <w:pStyle w:val="6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3"/>
    <w:next w:val="67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3"/>
    <w:next w:val="67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3"/>
    <w:next w:val="67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3"/>
    <w:next w:val="67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3"/>
    <w:next w:val="67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3"/>
    <w:next w:val="67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3"/>
    <w:next w:val="67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3"/>
    <w:next w:val="67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3"/>
    <w:next w:val="67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3"/>
    <w:next w:val="67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4"/>
    <w:link w:val="34"/>
    <w:uiPriority w:val="10"/>
    <w:rPr>
      <w:sz w:val="48"/>
      <w:szCs w:val="48"/>
    </w:rPr>
  </w:style>
  <w:style w:type="paragraph" w:styleId="36">
    <w:name w:val="Subtitle"/>
    <w:basedOn w:val="673"/>
    <w:next w:val="67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4"/>
    <w:link w:val="36"/>
    <w:uiPriority w:val="11"/>
    <w:rPr>
      <w:sz w:val="24"/>
      <w:szCs w:val="24"/>
    </w:rPr>
  </w:style>
  <w:style w:type="paragraph" w:styleId="38">
    <w:name w:val="Quote"/>
    <w:basedOn w:val="673"/>
    <w:next w:val="67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3"/>
    <w:next w:val="67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4"/>
    <w:link w:val="679"/>
    <w:uiPriority w:val="99"/>
  </w:style>
  <w:style w:type="character" w:styleId="45">
    <w:name w:val="Footer Char"/>
    <w:basedOn w:val="674"/>
    <w:link w:val="681"/>
    <w:uiPriority w:val="99"/>
  </w:style>
  <w:style w:type="paragraph" w:styleId="46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1"/>
    <w:uiPriority w:val="99"/>
  </w:style>
  <w:style w:type="table" w:styleId="49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4"/>
    <w:uiPriority w:val="99"/>
    <w:unhideWhenUsed/>
    <w:rPr>
      <w:vertAlign w:val="superscript"/>
    </w:rPr>
  </w:style>
  <w:style w:type="paragraph" w:styleId="178">
    <w:name w:val="endnote text"/>
    <w:basedOn w:val="67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4"/>
    <w:uiPriority w:val="99"/>
    <w:semiHidden/>
    <w:unhideWhenUsed/>
    <w:rPr>
      <w:vertAlign w:val="superscript"/>
    </w:rPr>
  </w:style>
  <w:style w:type="paragraph" w:styleId="181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8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paragraph" w:styleId="677">
    <w:name w:val="List Paragraph"/>
    <w:basedOn w:val="673"/>
    <w:uiPriority w:val="34"/>
    <w:qFormat/>
    <w:pPr>
      <w:contextualSpacing/>
      <w:ind w:left="720"/>
    </w:pPr>
  </w:style>
  <w:style w:type="table" w:styleId="678">
    <w:name w:val="Table Grid"/>
    <w:basedOn w:val="675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9">
    <w:name w:val="Header"/>
    <w:basedOn w:val="673"/>
    <w:link w:val="6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0" w:customStyle="1">
    <w:name w:val="Верхний колонтитул Знак"/>
    <w:basedOn w:val="674"/>
    <w:link w:val="679"/>
    <w:uiPriority w:val="99"/>
    <w:rPr>
      <w:rFonts w:ascii="Times New Roman" w:hAnsi="Times New Roman" w:eastAsia="Calibri" w:cs="Times New Roman"/>
      <w:sz w:val="28"/>
    </w:rPr>
  </w:style>
  <w:style w:type="paragraph" w:styleId="681">
    <w:name w:val="Footer"/>
    <w:basedOn w:val="673"/>
    <w:link w:val="6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2" w:customStyle="1">
    <w:name w:val="Нижний колонтитул Знак"/>
    <w:basedOn w:val="674"/>
    <w:link w:val="681"/>
    <w:uiPriority w:val="99"/>
    <w:rPr>
      <w:rFonts w:ascii="Times New Roman" w:hAnsi="Times New Roman" w:eastAsia="Calibri" w:cs="Times New Roman"/>
      <w:sz w:val="28"/>
    </w:rPr>
  </w:style>
  <w:style w:type="character" w:styleId="683">
    <w:name w:val="Hyperlink"/>
    <w:basedOn w:val="674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revision>147</cp:revision>
  <dcterms:created xsi:type="dcterms:W3CDTF">2023-06-27T07:07:00Z</dcterms:created>
  <dcterms:modified xsi:type="dcterms:W3CDTF">2024-03-25T11:54:29Z</dcterms:modified>
</cp:coreProperties>
</file>